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5A2" w:rsidRDefault="001215A2" w:rsidP="001215A2">
      <w:pPr>
        <w:pStyle w:val="Heading2"/>
        <w:spacing w:before="0"/>
      </w:pPr>
    </w:p>
    <w:p w:rsidR="00893531" w:rsidRDefault="001215A2" w:rsidP="001215A2">
      <w:pPr>
        <w:pStyle w:val="Heading2"/>
        <w:spacing w:before="0"/>
      </w:pPr>
      <w:r w:rsidRPr="001215A2">
        <w:t>Pathways to Greener Transport Infrastructure</w:t>
      </w:r>
    </w:p>
    <w:p w:rsidR="001215A2" w:rsidRPr="001215A2" w:rsidRDefault="001215A2" w:rsidP="001215A2">
      <w:pPr>
        <w:rPr>
          <w:sz w:val="2"/>
          <w:szCs w:val="2"/>
        </w:rPr>
      </w:pPr>
    </w:p>
    <w:p w:rsidR="001215A2" w:rsidRDefault="001215A2" w:rsidP="001215A2">
      <w:pPr>
        <w:pStyle w:val="Heading2"/>
        <w:spacing w:before="0"/>
        <w:rPr>
          <w:color w:val="7F7F7F"/>
          <w:sz w:val="24"/>
          <w:szCs w:val="24"/>
        </w:rPr>
      </w:pPr>
      <w:r w:rsidRPr="001215A2">
        <w:rPr>
          <w:color w:val="7F7F7F"/>
          <w:sz w:val="24"/>
          <w:szCs w:val="24"/>
        </w:rPr>
        <w:t>Bucharest, June 25th 2019</w:t>
      </w:r>
    </w:p>
    <w:p w:rsidR="001215A2" w:rsidRPr="001215A2" w:rsidRDefault="001215A2" w:rsidP="001215A2">
      <w:pPr>
        <w:rPr>
          <w:sz w:val="10"/>
          <w:szCs w:val="10"/>
        </w:rPr>
      </w:pPr>
    </w:p>
    <w:p w:rsidR="009C279C" w:rsidRDefault="001215A2" w:rsidP="001215A2">
      <w:pPr>
        <w:pStyle w:val="Heading2"/>
        <w:spacing w:before="0"/>
        <w:rPr>
          <w:sz w:val="24"/>
          <w:szCs w:val="24"/>
        </w:rPr>
      </w:pPr>
      <w:r w:rsidRPr="001215A2">
        <w:rPr>
          <w:sz w:val="24"/>
          <w:szCs w:val="24"/>
        </w:rPr>
        <w:t>Agenda</w:t>
      </w:r>
    </w:p>
    <w:p w:rsidR="001215A2" w:rsidRPr="001215A2" w:rsidRDefault="001215A2" w:rsidP="001215A2">
      <w:pPr>
        <w:rPr>
          <w:sz w:val="10"/>
          <w:szCs w:val="10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8"/>
        <w:gridCol w:w="7542"/>
      </w:tblGrid>
      <w:tr w:rsidR="009C279C" w:rsidTr="00DF2182">
        <w:tc>
          <w:tcPr>
            <w:tcW w:w="1638" w:type="dxa"/>
          </w:tcPr>
          <w:p w:rsidR="009C279C" w:rsidRDefault="009C279C" w:rsidP="00DF2182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9.00 – 9.40</w:t>
            </w:r>
          </w:p>
        </w:tc>
        <w:tc>
          <w:tcPr>
            <w:tcW w:w="7542" w:type="dxa"/>
          </w:tcPr>
          <w:p w:rsidR="009C279C" w:rsidRDefault="009C279C" w:rsidP="00DF2182">
            <w:pPr>
              <w:pStyle w:val="Heading2"/>
              <w:spacing w:befor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Welcome &amp; purpose of the event </w:t>
            </w:r>
          </w:p>
        </w:tc>
      </w:tr>
      <w:tr w:rsidR="009C279C" w:rsidTr="00DF2182">
        <w:tc>
          <w:tcPr>
            <w:tcW w:w="1638" w:type="dxa"/>
          </w:tcPr>
          <w:p w:rsidR="009C279C" w:rsidRDefault="009C279C" w:rsidP="00DF2182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9.40 – 10.00</w:t>
            </w:r>
          </w:p>
        </w:tc>
        <w:tc>
          <w:tcPr>
            <w:tcW w:w="7542" w:type="dxa"/>
          </w:tcPr>
          <w:p w:rsidR="009C279C" w:rsidRDefault="009C279C" w:rsidP="00DF2182">
            <w:pPr>
              <w:pStyle w:val="Heading2"/>
              <w:spacing w:befor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Setting the scene</w:t>
            </w:r>
          </w:p>
          <w:p w:rsidR="009C279C" w:rsidRDefault="009C279C" w:rsidP="00DF2182">
            <w:pPr>
              <w:rPr>
                <w:rFonts w:ascii="Cambria" w:eastAsia="Cambria" w:hAnsi="Cambria" w:cs="Cambria"/>
                <w:color w:val="222222"/>
                <w:highlight w:val="white"/>
              </w:rPr>
            </w:pPr>
            <w:r>
              <w:rPr>
                <w:rFonts w:ascii="Cambria" w:eastAsia="Cambria" w:hAnsi="Cambria" w:cs="Cambria"/>
                <w:b/>
                <w:color w:val="222222"/>
                <w:highlight w:val="white"/>
              </w:rPr>
              <w:t>Transport</w:t>
            </w:r>
            <w:r>
              <w:rPr>
                <w:rFonts w:ascii="Cambria" w:eastAsia="Cambria" w:hAnsi="Cambria" w:cs="Cambria"/>
                <w:color w:val="222222"/>
                <w:highlight w:val="white"/>
              </w:rPr>
              <w:t>: Integration of nature conservation in linear infrastructure development; history of collaboration and development in Europe</w:t>
            </w:r>
          </w:p>
          <w:p w:rsidR="009C279C" w:rsidRPr="004516BB" w:rsidRDefault="009C279C" w:rsidP="00DF2182">
            <w:pPr>
              <w:rPr>
                <w:highlight w:val="white"/>
              </w:rPr>
            </w:pPr>
            <w:r>
              <w:rPr>
                <w:rFonts w:ascii="Cambria" w:eastAsia="Cambria" w:hAnsi="Cambria" w:cs="Cambria"/>
                <w:b/>
                <w:color w:val="222222"/>
                <w:highlight w:val="white"/>
              </w:rPr>
              <w:t>Green Infrastructure</w:t>
            </w:r>
            <w:r>
              <w:rPr>
                <w:rFonts w:ascii="Cambria" w:eastAsia="Cambria" w:hAnsi="Cambria" w:cs="Cambria"/>
                <w:color w:val="222222"/>
                <w:highlight w:val="white"/>
              </w:rPr>
              <w:t>: What does green infrastructure mean related to transport infrastructure – transition from political to local level</w:t>
            </w:r>
          </w:p>
        </w:tc>
      </w:tr>
      <w:tr w:rsidR="009C279C" w:rsidTr="00DF2182">
        <w:trPr>
          <w:trHeight w:val="760"/>
        </w:trPr>
        <w:tc>
          <w:tcPr>
            <w:tcW w:w="1638" w:type="dxa"/>
          </w:tcPr>
          <w:p w:rsidR="009C279C" w:rsidRDefault="009C279C" w:rsidP="00DF2182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10.10 – 11.10</w:t>
            </w:r>
          </w:p>
          <w:p w:rsidR="009C279C" w:rsidRDefault="009C279C" w:rsidP="00DF2182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7542" w:type="dxa"/>
          </w:tcPr>
          <w:p w:rsidR="009C279C" w:rsidRDefault="009C279C" w:rsidP="00DF2182">
            <w:pPr>
              <w:pStyle w:val="Heading2"/>
              <w:spacing w:befor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panel discussion</w:t>
            </w:r>
          </w:p>
          <w:p w:rsidR="009C279C" w:rsidRDefault="009C279C" w:rsidP="00DF2182">
            <w:pPr>
              <w:rPr>
                <w:rFonts w:ascii="Cambria" w:eastAsia="Cambria" w:hAnsi="Cambria" w:cs="Cambria"/>
                <w:color w:val="00008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</w:rPr>
              <w:t>The TRANSGREEN project</w:t>
            </w:r>
            <w:r>
              <w:rPr>
                <w:rFonts w:ascii="Cambria" w:eastAsia="Cambria" w:hAnsi="Cambria" w:cs="Cambria"/>
              </w:rPr>
              <w:t>. Experiences, pilots, results including presentation of Catalogue of measures, Guidelines on integrated transport infrastructure development</w:t>
            </w:r>
            <w:r>
              <w:rPr>
                <w:rFonts w:ascii="Cambria" w:eastAsia="Cambria" w:hAnsi="Cambria" w:cs="Cambria"/>
                <w:color w:val="222222"/>
                <w:highlight w:val="white"/>
              </w:rPr>
              <w:t>, and the Carpathian Convention Strategic Action Plan for Future Sustainable Transport Development of the Carpathians</w:t>
            </w:r>
          </w:p>
        </w:tc>
      </w:tr>
      <w:tr w:rsidR="009C279C" w:rsidTr="00DF2182">
        <w:trPr>
          <w:trHeight w:val="300"/>
        </w:trPr>
        <w:tc>
          <w:tcPr>
            <w:tcW w:w="1638" w:type="dxa"/>
          </w:tcPr>
          <w:p w:rsidR="009C279C" w:rsidRDefault="009C279C" w:rsidP="00DF2182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11.10 – 11.40</w:t>
            </w:r>
          </w:p>
        </w:tc>
        <w:tc>
          <w:tcPr>
            <w:tcW w:w="7542" w:type="dxa"/>
          </w:tcPr>
          <w:p w:rsidR="009C279C" w:rsidRDefault="009C279C" w:rsidP="00DF2182">
            <w:pPr>
              <w:pStyle w:val="Heading2"/>
              <w:spacing w:before="0"/>
              <w:jc w:val="left"/>
            </w:pPr>
            <w:r>
              <w:rPr>
                <w:color w:val="7F7F7F"/>
                <w:sz w:val="24"/>
                <w:szCs w:val="24"/>
              </w:rPr>
              <w:t>Coffee break</w:t>
            </w:r>
          </w:p>
        </w:tc>
      </w:tr>
      <w:tr w:rsidR="009C279C" w:rsidTr="00DF2182">
        <w:trPr>
          <w:trHeight w:val="760"/>
        </w:trPr>
        <w:tc>
          <w:tcPr>
            <w:tcW w:w="1638" w:type="dxa"/>
          </w:tcPr>
          <w:p w:rsidR="009C279C" w:rsidRDefault="009C279C" w:rsidP="00DF2182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11.40 – 12.40</w:t>
            </w:r>
          </w:p>
        </w:tc>
        <w:tc>
          <w:tcPr>
            <w:tcW w:w="7542" w:type="dxa"/>
          </w:tcPr>
          <w:p w:rsidR="009C279C" w:rsidRDefault="009C279C" w:rsidP="00DF2182">
            <w:pPr>
              <w:pStyle w:val="Heading2"/>
              <w:spacing w:befor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 panel discussion</w:t>
            </w:r>
          </w:p>
          <w:p w:rsidR="009C279C" w:rsidRDefault="009C279C" w:rsidP="00DF2182">
            <w:pPr>
              <w:rPr>
                <w:rFonts w:ascii="Cambria" w:eastAsia="Cambria" w:hAnsi="Cambria" w:cs="Cambria"/>
                <w:color w:val="00008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222222"/>
                <w:highlight w:val="white"/>
              </w:rPr>
              <w:t>Looking into the future</w:t>
            </w:r>
            <w:r>
              <w:rPr>
                <w:rFonts w:ascii="Cambria" w:eastAsia="Cambria" w:hAnsi="Cambria" w:cs="Cambria"/>
                <w:color w:val="222222"/>
                <w:highlight w:val="white"/>
              </w:rPr>
              <w:t>. How can environmentally-friendly transportation development be fostered in the region and how financial instruments can support a better integration</w:t>
            </w:r>
          </w:p>
        </w:tc>
      </w:tr>
      <w:tr w:rsidR="009C279C" w:rsidTr="00DF2182">
        <w:trPr>
          <w:trHeight w:val="260"/>
        </w:trPr>
        <w:tc>
          <w:tcPr>
            <w:tcW w:w="1638" w:type="dxa"/>
          </w:tcPr>
          <w:p w:rsidR="009C279C" w:rsidRDefault="009C279C" w:rsidP="00DF2182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12.40 –13.00</w:t>
            </w:r>
          </w:p>
        </w:tc>
        <w:tc>
          <w:tcPr>
            <w:tcW w:w="7542" w:type="dxa"/>
          </w:tcPr>
          <w:p w:rsidR="009C279C" w:rsidRDefault="009C279C" w:rsidP="00DF2182">
            <w:pPr>
              <w:pStyle w:val="Heading2"/>
              <w:spacing w:before="0"/>
              <w:jc w:val="left"/>
              <w:rPr>
                <w:b w:val="0"/>
              </w:rPr>
            </w:pPr>
            <w:r>
              <w:rPr>
                <w:sz w:val="24"/>
                <w:szCs w:val="24"/>
              </w:rPr>
              <w:t>Adoption of Conference Declaration</w:t>
            </w:r>
          </w:p>
        </w:tc>
      </w:tr>
      <w:tr w:rsidR="009C279C" w:rsidTr="00DF2182">
        <w:trPr>
          <w:trHeight w:val="280"/>
        </w:trPr>
        <w:tc>
          <w:tcPr>
            <w:tcW w:w="1638" w:type="dxa"/>
          </w:tcPr>
          <w:p w:rsidR="009C279C" w:rsidRDefault="009C279C" w:rsidP="00DF2182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13.00 – 14.30</w:t>
            </w:r>
          </w:p>
        </w:tc>
        <w:tc>
          <w:tcPr>
            <w:tcW w:w="7542" w:type="dxa"/>
          </w:tcPr>
          <w:p w:rsidR="009C279C" w:rsidRDefault="009C279C" w:rsidP="00DF2182">
            <w:pPr>
              <w:pStyle w:val="Heading2"/>
              <w:spacing w:before="0"/>
              <w:jc w:val="left"/>
            </w:pPr>
            <w:r>
              <w:rPr>
                <w:color w:val="7F7F7F"/>
                <w:sz w:val="24"/>
                <w:szCs w:val="24"/>
              </w:rPr>
              <w:t>Lunch</w:t>
            </w:r>
          </w:p>
        </w:tc>
      </w:tr>
      <w:tr w:rsidR="009C279C" w:rsidTr="00DF2182">
        <w:trPr>
          <w:trHeight w:val="820"/>
        </w:trPr>
        <w:tc>
          <w:tcPr>
            <w:tcW w:w="1638" w:type="dxa"/>
          </w:tcPr>
          <w:p w:rsidR="009C279C" w:rsidRDefault="009C279C" w:rsidP="00DF2182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14.30 – 17.00</w:t>
            </w:r>
          </w:p>
          <w:p w:rsidR="009C279C" w:rsidRDefault="009C279C" w:rsidP="00DF2182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7542" w:type="dxa"/>
          </w:tcPr>
          <w:p w:rsidR="009C279C" w:rsidRDefault="009C279C" w:rsidP="00DF2182">
            <w:pPr>
              <w:pStyle w:val="Heading2"/>
              <w:spacing w:befor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Parallel workshops </w:t>
            </w:r>
          </w:p>
          <w:p w:rsidR="009C279C" w:rsidRDefault="009C279C" w:rsidP="00DF2182">
            <w:pPr>
              <w:rPr>
                <w:rFonts w:ascii="Cambria" w:eastAsia="Cambria" w:hAnsi="Cambria" w:cs="Cambria"/>
                <w:color w:val="00008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222222"/>
                <w:highlight w:val="white"/>
              </w:rPr>
              <w:t xml:space="preserve">How  EU institutions can enhance implementation and how Member States can  make better use of the TRANSGREEN Guidelines </w:t>
            </w:r>
            <w:r>
              <w:rPr>
                <w:rFonts w:ascii="Cambria" w:eastAsia="Cambria" w:hAnsi="Cambria" w:cs="Cambria"/>
                <w:color w:val="222222"/>
                <w:highlight w:val="white"/>
              </w:rPr>
              <w:t>on integrated transport infrastructure development</w:t>
            </w:r>
          </w:p>
        </w:tc>
      </w:tr>
      <w:tr w:rsidR="009C279C" w:rsidTr="00DF2182">
        <w:trPr>
          <w:trHeight w:val="260"/>
        </w:trPr>
        <w:tc>
          <w:tcPr>
            <w:tcW w:w="1638" w:type="dxa"/>
          </w:tcPr>
          <w:p w:rsidR="009C279C" w:rsidRDefault="009C279C" w:rsidP="00DF2182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17.00 – 17.30</w:t>
            </w:r>
          </w:p>
        </w:tc>
        <w:tc>
          <w:tcPr>
            <w:tcW w:w="7542" w:type="dxa"/>
          </w:tcPr>
          <w:p w:rsidR="009C279C" w:rsidRDefault="009C279C" w:rsidP="00DF2182">
            <w:pPr>
              <w:pStyle w:val="Heading2"/>
              <w:spacing w:before="0"/>
              <w:jc w:val="left"/>
            </w:pPr>
            <w:r>
              <w:rPr>
                <w:sz w:val="24"/>
                <w:szCs w:val="24"/>
              </w:rPr>
              <w:t>Results/summary presentation of the workshops</w:t>
            </w:r>
          </w:p>
        </w:tc>
      </w:tr>
      <w:tr w:rsidR="009C279C" w:rsidTr="00DF2182">
        <w:trPr>
          <w:trHeight w:val="260"/>
        </w:trPr>
        <w:tc>
          <w:tcPr>
            <w:tcW w:w="1638" w:type="dxa"/>
          </w:tcPr>
          <w:p w:rsidR="009C279C" w:rsidRDefault="009C279C" w:rsidP="00DF2182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14.30 – 17.30</w:t>
            </w:r>
          </w:p>
        </w:tc>
        <w:tc>
          <w:tcPr>
            <w:tcW w:w="7542" w:type="dxa"/>
          </w:tcPr>
          <w:p w:rsidR="009C279C" w:rsidRDefault="009C279C" w:rsidP="00DF2182">
            <w:pPr>
              <w:pStyle w:val="Heading2"/>
              <w:spacing w:before="0"/>
              <w:jc w:val="left"/>
            </w:pPr>
            <w:r w:rsidRPr="002C4D30">
              <w:rPr>
                <w:sz w:val="24"/>
                <w:szCs w:val="24"/>
              </w:rPr>
              <w:t>Side</w:t>
            </w:r>
            <w:r>
              <w:t xml:space="preserve"> </w:t>
            </w:r>
            <w:r w:rsidRPr="002C4D30">
              <w:rPr>
                <w:sz w:val="24"/>
                <w:szCs w:val="24"/>
              </w:rPr>
              <w:t>event</w:t>
            </w:r>
            <w:r>
              <w:t xml:space="preserve"> </w:t>
            </w:r>
          </w:p>
          <w:p w:rsidR="009C279C" w:rsidRDefault="009C279C" w:rsidP="00DF2182">
            <w:pPr>
              <w:pStyle w:val="Heading2"/>
              <w:spacing w:before="0"/>
              <w:jc w:val="left"/>
              <w:rPr>
                <w:sz w:val="24"/>
                <w:szCs w:val="24"/>
              </w:rPr>
            </w:pPr>
            <w:r w:rsidRPr="0000438B">
              <w:rPr>
                <w:b w:val="0"/>
                <w:bCs/>
                <w:color w:val="222222"/>
                <w:sz w:val="22"/>
                <w:szCs w:val="22"/>
                <w:highlight w:val="white"/>
              </w:rPr>
              <w:t>Exchanging experiences between Carpathians and other mountain regions (Alps, Dinaric Arc, Caucasus)</w:t>
            </w:r>
          </w:p>
        </w:tc>
      </w:tr>
      <w:tr w:rsidR="009C279C" w:rsidTr="00DF2182">
        <w:tc>
          <w:tcPr>
            <w:tcW w:w="1638" w:type="dxa"/>
          </w:tcPr>
          <w:p w:rsidR="009C279C" w:rsidRDefault="009C279C" w:rsidP="00DF2182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17.30</w:t>
            </w:r>
          </w:p>
        </w:tc>
        <w:tc>
          <w:tcPr>
            <w:tcW w:w="7542" w:type="dxa"/>
          </w:tcPr>
          <w:p w:rsidR="009C279C" w:rsidRDefault="009C279C" w:rsidP="00DF2182">
            <w:pPr>
              <w:pStyle w:val="Heading2"/>
              <w:spacing w:before="0"/>
              <w:jc w:val="left"/>
            </w:pPr>
            <w:r>
              <w:rPr>
                <w:sz w:val="24"/>
                <w:szCs w:val="24"/>
              </w:rPr>
              <w:t>Conclusions</w:t>
            </w:r>
          </w:p>
        </w:tc>
      </w:tr>
      <w:tr w:rsidR="009C279C" w:rsidTr="00DF2182">
        <w:tc>
          <w:tcPr>
            <w:tcW w:w="1638" w:type="dxa"/>
          </w:tcPr>
          <w:p w:rsidR="009C279C" w:rsidRDefault="009C279C" w:rsidP="00DF2182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18.00</w:t>
            </w:r>
          </w:p>
        </w:tc>
        <w:tc>
          <w:tcPr>
            <w:tcW w:w="7542" w:type="dxa"/>
          </w:tcPr>
          <w:p w:rsidR="009C279C" w:rsidRDefault="009C279C" w:rsidP="00DF2182">
            <w:pPr>
              <w:pStyle w:val="Heading2"/>
              <w:spacing w:before="0"/>
              <w:jc w:val="left"/>
            </w:pPr>
            <w:r>
              <w:rPr>
                <w:color w:val="7F7F7F"/>
                <w:sz w:val="24"/>
                <w:szCs w:val="24"/>
              </w:rPr>
              <w:t>Celebration</w:t>
            </w:r>
          </w:p>
        </w:tc>
      </w:tr>
    </w:tbl>
    <w:p w:rsidR="009C279C" w:rsidRPr="009C279C" w:rsidRDefault="009C279C" w:rsidP="009C279C">
      <w:bookmarkStart w:id="0" w:name="_GoBack"/>
      <w:bookmarkEnd w:id="0"/>
    </w:p>
    <w:sectPr w:rsidR="009C279C" w:rsidRPr="009C27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DD2" w:rsidRDefault="00F37DD2" w:rsidP="00D974E5">
      <w:pPr>
        <w:spacing w:after="0" w:line="240" w:lineRule="auto"/>
      </w:pPr>
      <w:r>
        <w:separator/>
      </w:r>
    </w:p>
  </w:endnote>
  <w:endnote w:type="continuationSeparator" w:id="0">
    <w:p w:rsidR="00F37DD2" w:rsidRDefault="00F37DD2" w:rsidP="00D97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4E5" w:rsidRDefault="00D974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4E5" w:rsidRDefault="00D974E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4E5" w:rsidRDefault="00D97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DD2" w:rsidRDefault="00F37DD2" w:rsidP="00D974E5">
      <w:pPr>
        <w:spacing w:after="0" w:line="240" w:lineRule="auto"/>
      </w:pPr>
      <w:r>
        <w:separator/>
      </w:r>
    </w:p>
  </w:footnote>
  <w:footnote w:type="continuationSeparator" w:id="0">
    <w:p w:rsidR="00F37DD2" w:rsidRDefault="00F37DD2" w:rsidP="00D97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4E5" w:rsidRDefault="00F37DD2">
    <w:pPr>
      <w:pStyle w:val="Header"/>
    </w:pPr>
    <w:r>
      <w:rPr>
        <w:noProof/>
        <w:lang w:eastAsia="de-A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0173" o:spid="_x0000_s2050" type="#_x0000_t75" style="position:absolute;margin-left:0;margin-top:0;width:453.5pt;height:641.5pt;z-index:-251657216;mso-position-horizontal:center;mso-position-horizontal-relative:margin;mso-position-vertical:center;mso-position-vertical-relative:margin" o:allowincell="f">
          <v:imagedata r:id="rId1" o:title="letterhead3_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4E5" w:rsidRDefault="00F37DD2">
    <w:pPr>
      <w:pStyle w:val="Header"/>
    </w:pPr>
    <w:r>
      <w:rPr>
        <w:noProof/>
        <w:lang w:eastAsia="de-A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0174" o:spid="_x0000_s2051" type="#_x0000_t75" style="position:absolute;margin-left:-72.6pt;margin-top:-81.7pt;width:598.95pt;height:852.35pt;z-index:-251656192;mso-position-horizontal-relative:margin;mso-position-vertical-relative:margin" o:allowincell="f">
          <v:imagedata r:id="rId1" o:title="letterhead3_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4E5" w:rsidRDefault="00F37DD2">
    <w:pPr>
      <w:pStyle w:val="Header"/>
    </w:pPr>
    <w:r>
      <w:rPr>
        <w:noProof/>
        <w:lang w:eastAsia="de-A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0172" o:spid="_x0000_s2049" type="#_x0000_t75" style="position:absolute;margin-left:0;margin-top:0;width:453.5pt;height:641.5pt;z-index:-251658240;mso-position-horizontal:center;mso-position-horizontal-relative:margin;mso-position-vertical:center;mso-position-vertical-relative:margin" o:allowincell="f">
          <v:imagedata r:id="rId1" o:title="letterhead3_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4E5"/>
    <w:rsid w:val="001215A2"/>
    <w:rsid w:val="002C4D30"/>
    <w:rsid w:val="007C36E5"/>
    <w:rsid w:val="00847AB9"/>
    <w:rsid w:val="009C279C"/>
    <w:rsid w:val="00AF5BEA"/>
    <w:rsid w:val="00BD643E"/>
    <w:rsid w:val="00D974E5"/>
    <w:rsid w:val="00F1514B"/>
    <w:rsid w:val="00F3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C279C"/>
    <w:rPr>
      <w:rFonts w:ascii="Calibri" w:eastAsia="Calibri" w:hAnsi="Calibri" w:cs="Calibri"/>
      <w:lang w:val="en-US"/>
    </w:rPr>
  </w:style>
  <w:style w:type="paragraph" w:styleId="Heading2">
    <w:name w:val="heading 2"/>
    <w:basedOn w:val="Normal"/>
    <w:next w:val="Normal"/>
    <w:link w:val="Heading2Char"/>
    <w:rsid w:val="009C279C"/>
    <w:pPr>
      <w:spacing w:before="120" w:after="0" w:line="240" w:lineRule="auto"/>
      <w:jc w:val="center"/>
      <w:outlineLvl w:val="1"/>
    </w:pPr>
    <w:rPr>
      <w:rFonts w:ascii="Cambria" w:eastAsia="Cambria" w:hAnsi="Cambria" w:cs="Cambria"/>
      <w:b/>
      <w:color w:val="000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4E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de-AT"/>
    </w:rPr>
  </w:style>
  <w:style w:type="character" w:customStyle="1" w:styleId="HeaderChar">
    <w:name w:val="Header Char"/>
    <w:basedOn w:val="DefaultParagraphFont"/>
    <w:link w:val="Header"/>
    <w:uiPriority w:val="99"/>
    <w:rsid w:val="00D974E5"/>
  </w:style>
  <w:style w:type="paragraph" w:styleId="Footer">
    <w:name w:val="footer"/>
    <w:basedOn w:val="Normal"/>
    <w:link w:val="FooterChar"/>
    <w:uiPriority w:val="99"/>
    <w:unhideWhenUsed/>
    <w:rsid w:val="00D974E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de-AT"/>
    </w:rPr>
  </w:style>
  <w:style w:type="character" w:customStyle="1" w:styleId="FooterChar">
    <w:name w:val="Footer Char"/>
    <w:basedOn w:val="DefaultParagraphFont"/>
    <w:link w:val="Footer"/>
    <w:uiPriority w:val="99"/>
    <w:rsid w:val="00D974E5"/>
  </w:style>
  <w:style w:type="character" w:styleId="Hyperlink">
    <w:name w:val="Hyperlink"/>
    <w:basedOn w:val="DefaultParagraphFont"/>
    <w:uiPriority w:val="99"/>
    <w:unhideWhenUsed/>
    <w:rsid w:val="00F1514B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1514B"/>
    <w:pPr>
      <w:spacing w:after="0" w:line="240" w:lineRule="auto"/>
    </w:pPr>
    <w:rPr>
      <w:rFonts w:eastAsiaTheme="minorHAnsi"/>
    </w:rPr>
  </w:style>
  <w:style w:type="character" w:customStyle="1" w:styleId="PlainTextChar">
    <w:name w:val="Plain Text Char"/>
    <w:basedOn w:val="DefaultParagraphFont"/>
    <w:link w:val="PlainText"/>
    <w:uiPriority w:val="99"/>
    <w:rsid w:val="00F1514B"/>
    <w:rPr>
      <w:rFonts w:ascii="Calibri" w:hAnsi="Calibri" w:cs="Calibri"/>
      <w:lang w:val="en-US"/>
    </w:rPr>
  </w:style>
  <w:style w:type="character" w:customStyle="1" w:styleId="Heading2Char">
    <w:name w:val="Heading 2 Char"/>
    <w:basedOn w:val="DefaultParagraphFont"/>
    <w:link w:val="Heading2"/>
    <w:rsid w:val="009C279C"/>
    <w:rPr>
      <w:rFonts w:ascii="Cambria" w:eastAsia="Cambria" w:hAnsi="Cambria" w:cs="Cambria"/>
      <w:b/>
      <w:color w:val="000080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C279C"/>
    <w:rPr>
      <w:rFonts w:ascii="Calibri" w:eastAsia="Calibri" w:hAnsi="Calibri" w:cs="Calibri"/>
      <w:lang w:val="en-US"/>
    </w:rPr>
  </w:style>
  <w:style w:type="paragraph" w:styleId="Heading2">
    <w:name w:val="heading 2"/>
    <w:basedOn w:val="Normal"/>
    <w:next w:val="Normal"/>
    <w:link w:val="Heading2Char"/>
    <w:rsid w:val="009C279C"/>
    <w:pPr>
      <w:spacing w:before="120" w:after="0" w:line="240" w:lineRule="auto"/>
      <w:jc w:val="center"/>
      <w:outlineLvl w:val="1"/>
    </w:pPr>
    <w:rPr>
      <w:rFonts w:ascii="Cambria" w:eastAsia="Cambria" w:hAnsi="Cambria" w:cs="Cambria"/>
      <w:b/>
      <w:color w:val="000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4E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de-AT"/>
    </w:rPr>
  </w:style>
  <w:style w:type="character" w:customStyle="1" w:styleId="HeaderChar">
    <w:name w:val="Header Char"/>
    <w:basedOn w:val="DefaultParagraphFont"/>
    <w:link w:val="Header"/>
    <w:uiPriority w:val="99"/>
    <w:rsid w:val="00D974E5"/>
  </w:style>
  <w:style w:type="paragraph" w:styleId="Footer">
    <w:name w:val="footer"/>
    <w:basedOn w:val="Normal"/>
    <w:link w:val="FooterChar"/>
    <w:uiPriority w:val="99"/>
    <w:unhideWhenUsed/>
    <w:rsid w:val="00D974E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de-AT"/>
    </w:rPr>
  </w:style>
  <w:style w:type="character" w:customStyle="1" w:styleId="FooterChar">
    <w:name w:val="Footer Char"/>
    <w:basedOn w:val="DefaultParagraphFont"/>
    <w:link w:val="Footer"/>
    <w:uiPriority w:val="99"/>
    <w:rsid w:val="00D974E5"/>
  </w:style>
  <w:style w:type="character" w:styleId="Hyperlink">
    <w:name w:val="Hyperlink"/>
    <w:basedOn w:val="DefaultParagraphFont"/>
    <w:uiPriority w:val="99"/>
    <w:unhideWhenUsed/>
    <w:rsid w:val="00F1514B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1514B"/>
    <w:pPr>
      <w:spacing w:after="0" w:line="240" w:lineRule="auto"/>
    </w:pPr>
    <w:rPr>
      <w:rFonts w:eastAsiaTheme="minorHAnsi"/>
    </w:rPr>
  </w:style>
  <w:style w:type="character" w:customStyle="1" w:styleId="PlainTextChar">
    <w:name w:val="Plain Text Char"/>
    <w:basedOn w:val="DefaultParagraphFont"/>
    <w:link w:val="PlainText"/>
    <w:uiPriority w:val="99"/>
    <w:rsid w:val="00F1514B"/>
    <w:rPr>
      <w:rFonts w:ascii="Calibri" w:hAnsi="Calibri" w:cs="Calibri"/>
      <w:lang w:val="en-US"/>
    </w:rPr>
  </w:style>
  <w:style w:type="character" w:customStyle="1" w:styleId="Heading2Char">
    <w:name w:val="Heading 2 Char"/>
    <w:basedOn w:val="DefaultParagraphFont"/>
    <w:link w:val="Heading2"/>
    <w:rsid w:val="009C279C"/>
    <w:rPr>
      <w:rFonts w:ascii="Cambria" w:eastAsia="Cambria" w:hAnsi="Cambria" w:cs="Cambria"/>
      <w:b/>
      <w:color w:val="000080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Bernadette Fessler</dc:creator>
  <cp:lastModifiedBy>cmurariu</cp:lastModifiedBy>
  <cp:revision>4</cp:revision>
  <dcterms:created xsi:type="dcterms:W3CDTF">2019-03-04T13:31:00Z</dcterms:created>
  <dcterms:modified xsi:type="dcterms:W3CDTF">2019-04-16T08:24:00Z</dcterms:modified>
</cp:coreProperties>
</file>