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FC" w:rsidRPr="001E7B20" w:rsidRDefault="00C323FC" w:rsidP="00C323FC">
      <w:pPr>
        <w:tabs>
          <w:tab w:val="left" w:pos="2261"/>
        </w:tabs>
        <w:jc w:val="center"/>
        <w:rPr>
          <w:rFonts w:eastAsia="MS Mincho" w:cs="Times New Roman"/>
          <w:b/>
          <w:bCs/>
          <w:color w:val="002672" w:themeColor="text1" w:themeShade="BF"/>
          <w:sz w:val="22"/>
          <w:szCs w:val="22"/>
          <w:lang w:eastAsia="ro-RO"/>
        </w:rPr>
      </w:pPr>
      <w:r w:rsidRPr="001E7B20">
        <w:rPr>
          <w:rFonts w:eastAsia="MS Mincho" w:cs="Times New Roman"/>
          <w:b/>
          <w:color w:val="002672" w:themeColor="text1" w:themeShade="BF"/>
          <w:sz w:val="22"/>
          <w:szCs w:val="22"/>
          <w:lang w:eastAsia="ro-RO"/>
        </w:rPr>
        <w:t>OPEN INNOVATION LAB</w:t>
      </w:r>
      <w:r w:rsidR="00C46984">
        <w:rPr>
          <w:rFonts w:eastAsia="MS Mincho" w:cs="Times New Roman"/>
          <w:b/>
          <w:color w:val="002672" w:themeColor="text1" w:themeShade="BF"/>
          <w:sz w:val="22"/>
          <w:szCs w:val="22"/>
          <w:lang w:eastAsia="ro-RO"/>
        </w:rPr>
        <w:t xml:space="preserve"> - UDJG</w:t>
      </w:r>
    </w:p>
    <w:p w:rsidR="00C323FC" w:rsidRDefault="001008EC" w:rsidP="00C323FC">
      <w:pPr>
        <w:tabs>
          <w:tab w:val="left" w:pos="2261"/>
        </w:tabs>
        <w:jc w:val="center"/>
        <w:rPr>
          <w:rFonts w:cs="Times New Roman"/>
          <w:b/>
          <w:color w:val="002672" w:themeColor="text1" w:themeShade="BF"/>
          <w:spacing w:val="-1"/>
          <w:sz w:val="22"/>
          <w:szCs w:val="22"/>
        </w:rPr>
      </w:pPr>
      <w:r>
        <w:rPr>
          <w:rFonts w:cs="Times New Roman"/>
          <w:b/>
          <w:color w:val="002672" w:themeColor="text1" w:themeShade="BF"/>
          <w:spacing w:val="-1"/>
          <w:sz w:val="22"/>
          <w:szCs w:val="22"/>
        </w:rPr>
        <w:t xml:space="preserve">Annex 4 – Challenge no. </w:t>
      </w:r>
      <w:r w:rsidR="00220AB8">
        <w:rPr>
          <w:rFonts w:cs="Times New Roman"/>
          <w:b/>
          <w:color w:val="002672" w:themeColor="text1" w:themeShade="BF"/>
          <w:spacing w:val="-1"/>
          <w:sz w:val="22"/>
          <w:szCs w:val="22"/>
        </w:rPr>
        <w:t>18</w:t>
      </w:r>
      <w:bookmarkStart w:id="0" w:name="_GoBack"/>
      <w:bookmarkEnd w:id="0"/>
      <w:r w:rsidR="00C46984">
        <w:rPr>
          <w:rFonts w:cs="Times New Roman"/>
          <w:b/>
          <w:color w:val="002672" w:themeColor="text1" w:themeShade="BF"/>
          <w:spacing w:val="-1"/>
          <w:sz w:val="22"/>
          <w:szCs w:val="22"/>
        </w:rPr>
        <w:t xml:space="preserve"> </w:t>
      </w:r>
    </w:p>
    <w:p w:rsidR="00BA1BBB" w:rsidRPr="001E7B20" w:rsidRDefault="008D5A9B" w:rsidP="00C323FC">
      <w:pPr>
        <w:tabs>
          <w:tab w:val="left" w:pos="2261"/>
        </w:tabs>
        <w:jc w:val="center"/>
        <w:rPr>
          <w:rFonts w:cs="Times New Roman"/>
          <w:b/>
          <w:color w:val="002672" w:themeColor="text1" w:themeShade="BF"/>
          <w:spacing w:val="-1"/>
          <w:sz w:val="22"/>
          <w:szCs w:val="22"/>
        </w:rPr>
      </w:pPr>
      <w:r>
        <w:rPr>
          <w:rFonts w:cs="Times New Roman"/>
          <w:b/>
          <w:color w:val="002672" w:themeColor="text1" w:themeShade="BF"/>
          <w:spacing w:val="-1"/>
          <w:sz w:val="22"/>
          <w:szCs w:val="22"/>
        </w:rPr>
        <w:t>eMOBILITY support infrastructure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56E8" w:rsidRPr="00C46984" w:rsidTr="00C46984">
        <w:tc>
          <w:tcPr>
            <w:tcW w:w="9634" w:type="dxa"/>
          </w:tcPr>
          <w:p w:rsidR="00C323FC" w:rsidRPr="009652BF" w:rsidRDefault="00C323FC" w:rsidP="001E7B2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</w:pPr>
            <w:r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Name of the challenge:</w:t>
            </w:r>
          </w:p>
          <w:p w:rsidR="00421440" w:rsidRPr="009652BF" w:rsidRDefault="008D5A9B" w:rsidP="008D5A9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eMOBILITY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support infrastructure</w:t>
            </w:r>
          </w:p>
        </w:tc>
      </w:tr>
      <w:tr w:rsidR="008A56E8" w:rsidRPr="00C46984" w:rsidTr="00C46984">
        <w:tc>
          <w:tcPr>
            <w:tcW w:w="9634" w:type="dxa"/>
          </w:tcPr>
          <w:p w:rsidR="00C323FC" w:rsidRPr="009652BF" w:rsidRDefault="00C323FC" w:rsidP="00FC6958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</w:pPr>
            <w:r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Context:</w:t>
            </w:r>
            <w:r w:rsidR="009652BF"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 xml:space="preserve"> </w:t>
            </w:r>
            <w:r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 xml:space="preserve"> </w:t>
            </w:r>
          </w:p>
          <w:p w:rsidR="00D0633E" w:rsidRDefault="00D0633E" w:rsidP="002E705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Preocupated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in sustainable development, </w:t>
            </w:r>
            <w:r w:rsid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>Bucharest-</w:t>
            </w:r>
            <w:proofErr w:type="spellStart"/>
            <w:r w:rsid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>Ilfov</w:t>
            </w:r>
            <w:proofErr w:type="spellEnd"/>
            <w:r w:rsid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Regional Development Agency (ADR-BI)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is concerned by the problem of infrastructure for </w:t>
            </w: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eMOBILITY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.</w:t>
            </w:r>
          </w:p>
          <w:p w:rsidR="001E7B20" w:rsidRPr="009D22E1" w:rsidRDefault="00A17A9B" w:rsidP="00D0633E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 w:rsidRPr="00A17A9B">
              <w:rPr>
                <w:rFonts w:cs="Times New Roman"/>
                <w:color w:val="002672" w:themeColor="text1" w:themeShade="BF"/>
                <w:sz w:val="22"/>
                <w:szCs w:val="22"/>
              </w:rPr>
              <w:t>Targ</w:t>
            </w:r>
            <w:r w:rsidR="001008EC">
              <w:rPr>
                <w:rFonts w:cs="Times New Roman"/>
                <w:color w:val="002672" w:themeColor="text1" w:themeShade="BF"/>
                <w:sz w:val="22"/>
                <w:szCs w:val="22"/>
              </w:rPr>
              <w:t>et group for the solution are the companies</w:t>
            </w:r>
            <w:r w:rsidR="00D0633E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and citizens </w:t>
            </w:r>
            <w:r w:rsidR="001008EC">
              <w:rPr>
                <w:rFonts w:cs="Times New Roman"/>
                <w:color w:val="002672" w:themeColor="text1" w:themeShade="BF"/>
                <w:sz w:val="22"/>
                <w:szCs w:val="22"/>
              </w:rPr>
              <w:t>interested in</w:t>
            </w:r>
            <w:r w:rsidR="00D0633E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using electric cars or even developing electric transport fleets</w:t>
            </w:r>
            <w:r w:rsidR="001008EC">
              <w:rPr>
                <w:rFonts w:cs="Times New Roman"/>
                <w:color w:val="002672" w:themeColor="text1" w:themeShade="BF"/>
                <w:sz w:val="22"/>
                <w:szCs w:val="22"/>
              </w:rPr>
              <w:t>.</w:t>
            </w:r>
          </w:p>
        </w:tc>
      </w:tr>
      <w:tr w:rsidR="008A56E8" w:rsidRPr="00C46984" w:rsidTr="00C46984">
        <w:tc>
          <w:tcPr>
            <w:tcW w:w="9634" w:type="dxa"/>
          </w:tcPr>
          <w:p w:rsidR="00C323FC" w:rsidRPr="009652BF" w:rsidRDefault="00C323FC" w:rsidP="009652B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-142" w:firstLine="142"/>
              <w:jc w:val="both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Problem:</w:t>
            </w:r>
            <w:r w:rsidRPr="009652BF">
              <w:rPr>
                <w:rFonts w:cs="Times New Roman"/>
                <w:color w:val="002672" w:themeColor="text1" w:themeShade="BF"/>
                <w:sz w:val="22"/>
                <w:szCs w:val="22"/>
                <w:lang w:val="cs-CZ"/>
              </w:rPr>
              <w:t xml:space="preserve"> </w:t>
            </w:r>
          </w:p>
          <w:p w:rsidR="00A17A9B" w:rsidRPr="00F56096" w:rsidRDefault="001C7C53" w:rsidP="001C7C53">
            <w:pPr>
              <w:pStyle w:val="Listparagraf"/>
              <w:numPr>
                <w:ilvl w:val="0"/>
                <w:numId w:val="3"/>
              </w:numPr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Reducing </w:t>
            </w: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polution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in Bucharest and using transportation that diminish the carbon footprint must become a constant </w:t>
            </w: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precupation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of the citizens. However, using electric cars is difficult </w:t>
            </w:r>
            <w:proofErr w:type="gram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as long as</w:t>
            </w:r>
            <w:proofErr w:type="gram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there are very few possibilities to recharge the vehicle’s batteries. Identifying places where recharging stations could be located is a hurdle.</w:t>
            </w:r>
          </w:p>
        </w:tc>
      </w:tr>
      <w:tr w:rsidR="00C46984" w:rsidRPr="00C46984" w:rsidTr="00C46984">
        <w:tc>
          <w:tcPr>
            <w:tcW w:w="9634" w:type="dxa"/>
          </w:tcPr>
          <w:p w:rsidR="00C46984" w:rsidRPr="009652BF" w:rsidRDefault="00C46984" w:rsidP="00C46984">
            <w:pPr>
              <w:spacing w:after="0" w:line="240" w:lineRule="auto"/>
              <w:ind w:left="720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</w:p>
          <w:p w:rsidR="00C46984" w:rsidRPr="009D22E1" w:rsidRDefault="00C46984" w:rsidP="009D22E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 w:rsidRPr="009D22E1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Additional info</w:t>
            </w:r>
            <w:r w:rsidR="009652BF" w:rsidRPr="009D22E1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:</w:t>
            </w:r>
            <w:r w:rsidRPr="009D22E1">
              <w:rPr>
                <w:rFonts w:cs="Times New Roman"/>
                <w:color w:val="002672" w:themeColor="text1" w:themeShade="BF"/>
                <w:sz w:val="22"/>
                <w:szCs w:val="22"/>
                <w:lang w:val="cs-CZ"/>
              </w:rPr>
              <w:t xml:space="preserve"> </w:t>
            </w:r>
          </w:p>
          <w:p w:rsidR="00BE6D44" w:rsidRPr="009652BF" w:rsidRDefault="00BE6D44" w:rsidP="00BB40E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The</w:t>
            </w:r>
            <w:r w:rsidR="00BB40E5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task is limited to the center of the city and to individual cars – not busses or other large vehicles.</w:t>
            </w:r>
          </w:p>
        </w:tc>
      </w:tr>
      <w:tr w:rsidR="008A56E8" w:rsidRPr="00C46984" w:rsidTr="00C46984">
        <w:tc>
          <w:tcPr>
            <w:tcW w:w="9634" w:type="dxa"/>
          </w:tcPr>
          <w:p w:rsidR="00C323FC" w:rsidRPr="009652BF" w:rsidRDefault="00C323FC" w:rsidP="009652B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 w:rsidRP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Skills of the team</w:t>
            </w:r>
            <w:r w:rsidR="009652BF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cs-CZ"/>
              </w:rPr>
              <w:t>:</w:t>
            </w:r>
            <w:r w:rsidRPr="009652BF">
              <w:rPr>
                <w:rFonts w:cs="Times New Roman"/>
                <w:color w:val="002672" w:themeColor="text1" w:themeShade="BF"/>
                <w:sz w:val="22"/>
                <w:szCs w:val="22"/>
                <w:lang w:val="cs-CZ"/>
              </w:rPr>
              <w:t xml:space="preserve"> </w:t>
            </w:r>
          </w:p>
          <w:p w:rsidR="00A17A9B" w:rsidRDefault="00BB40E5" w:rsidP="00A17A9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Knowledge regarding electric cars.</w:t>
            </w:r>
          </w:p>
          <w:p w:rsidR="00BE6D44" w:rsidRPr="009652BF" w:rsidRDefault="00BB40E5" w:rsidP="00BB40E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Knowedge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regarding electric networks for recharging car batteries.</w:t>
            </w:r>
          </w:p>
        </w:tc>
      </w:tr>
      <w:tr w:rsidR="00C323FC" w:rsidRPr="00C46984" w:rsidTr="00C46984">
        <w:tc>
          <w:tcPr>
            <w:tcW w:w="9634" w:type="dxa"/>
          </w:tcPr>
          <w:p w:rsidR="00C323FC" w:rsidRPr="00A17A9B" w:rsidRDefault="00C323FC" w:rsidP="00A17A9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</w:pPr>
            <w:r w:rsidRPr="00A17A9B"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  <w:t>About the Seeker:</w:t>
            </w:r>
          </w:p>
          <w:p w:rsidR="00A17A9B" w:rsidRDefault="00A17A9B" w:rsidP="002E7051">
            <w:pPr>
              <w:pStyle w:val="Listparagraf"/>
              <w:spacing w:after="0" w:line="240" w:lineRule="auto"/>
              <w:ind w:left="1080"/>
              <w:jc w:val="both"/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</w:pPr>
            <w:r w:rsidRPr="00A17A9B">
              <w:rPr>
                <w:rFonts w:cs="Times New Roman"/>
                <w:i/>
                <w:color w:val="002672" w:themeColor="text1" w:themeShade="BF"/>
                <w:sz w:val="22"/>
                <w:szCs w:val="22"/>
              </w:rPr>
              <w:t>Description of company/institution:</w:t>
            </w:r>
            <w:r w:rsidRPr="00A17A9B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</w:t>
            </w:r>
            <w:r w:rsidR="007E115C"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  <w:t>A</w:t>
            </w:r>
            <w:r w:rsidR="00D2681B"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  <w:t>DR-BI</w:t>
            </w:r>
          </w:p>
          <w:p w:rsidR="00A17A9B" w:rsidRPr="00A17A9B" w:rsidRDefault="00A17A9B" w:rsidP="00A17A9B">
            <w:pPr>
              <w:pStyle w:val="Listparagraf"/>
              <w:spacing w:after="0" w:line="240" w:lineRule="auto"/>
              <w:ind w:left="1080"/>
              <w:jc w:val="both"/>
              <w:rPr>
                <w:rFonts w:cs="Times New Roman"/>
                <w:b/>
                <w:color w:val="002672" w:themeColor="text1" w:themeShade="BF"/>
                <w:sz w:val="22"/>
                <w:szCs w:val="22"/>
              </w:rPr>
            </w:pPr>
          </w:p>
          <w:p w:rsidR="00D2681B" w:rsidRPr="000254D0" w:rsidRDefault="00D2681B" w:rsidP="00D2681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2672" w:themeColor="text1" w:themeShade="BF"/>
                <w:sz w:val="22"/>
                <w:szCs w:val="22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lastRenderedPageBreak/>
              <w:t>Bucharest-</w:t>
            </w:r>
            <w:proofErr w:type="spellStart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Ilfov</w:t>
            </w:r>
            <w:proofErr w:type="spellEnd"/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Regional Development Agency (ADR-BI) </w:t>
            </w:r>
            <w:r w:rsidRPr="000254D0">
              <w:rPr>
                <w:color w:val="002672" w:themeColor="text1" w:themeShade="BF"/>
                <w:sz w:val="22"/>
                <w:szCs w:val="22"/>
              </w:rPr>
              <w:t>is a non-governmental, non-profit institution of public utility, with legal personality, established in 1999, operating under Law 315/2004 regarding regional development in Romania.</w:t>
            </w:r>
          </w:p>
          <w:p w:rsidR="00D2681B" w:rsidRPr="000254D0" w:rsidRDefault="00D2681B" w:rsidP="00D2681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color w:val="002672" w:themeColor="text1" w:themeShade="BF"/>
                <w:sz w:val="22"/>
                <w:szCs w:val="22"/>
              </w:rPr>
            </w:pPr>
            <w:r w:rsidRPr="000254D0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The basic activity of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ADR-BI</w:t>
            </w:r>
            <w:r w:rsidRPr="000254D0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is the provision of specific services to the local public administration and private sector, with the view of developing the Bucharest-</w:t>
            </w:r>
            <w:proofErr w:type="spellStart"/>
            <w:r w:rsidRPr="000254D0">
              <w:rPr>
                <w:rFonts w:cs="Times New Roman"/>
                <w:color w:val="002672" w:themeColor="text1" w:themeShade="BF"/>
                <w:sz w:val="22"/>
                <w:szCs w:val="22"/>
              </w:rPr>
              <w:t>Ilfov</w:t>
            </w:r>
            <w:proofErr w:type="spellEnd"/>
            <w:r w:rsidRPr="000254D0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 Region.</w:t>
            </w:r>
          </w:p>
          <w:p w:rsidR="00A17A9B" w:rsidRPr="00D2681B" w:rsidRDefault="00D2681B" w:rsidP="00C113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</w:pP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Since its establishment until the present moment, </w:t>
            </w: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>ADR-</w:t>
            </w: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BI has implemented several programs focusing on to socio-economic development of the Bucharest-</w:t>
            </w:r>
            <w:proofErr w:type="spellStart"/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Ilfov</w:t>
            </w:r>
            <w:proofErr w:type="spellEnd"/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 region. These were: the </w:t>
            </w:r>
            <w:proofErr w:type="spellStart"/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Phare</w:t>
            </w:r>
            <w:proofErr w:type="spellEnd"/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 Program – Social and Economic Cohesion, the 2007-2013 Regional Operational Program</w:t>
            </w: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>,</w:t>
            </w: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 programs fund</w:t>
            </w:r>
            <w:r w:rsidRPr="00D2681B">
              <w:rPr>
                <w:rFonts w:cs="Times New Roman"/>
                <w:color w:val="002672" w:themeColor="text1" w:themeShade="BF"/>
                <w:sz w:val="22"/>
                <w:szCs w:val="22"/>
              </w:rPr>
              <w:t>ed by the Government of Romania, projects funded by INTERREG IVC and INTERREG EUROPE Programs.</w:t>
            </w:r>
          </w:p>
          <w:p w:rsidR="00F40671" w:rsidRPr="00A17A9B" w:rsidRDefault="00F40671" w:rsidP="00F40671">
            <w:pPr>
              <w:spacing w:after="0" w:line="240" w:lineRule="auto"/>
              <w:ind w:left="1080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</w:pPr>
          </w:p>
          <w:p w:rsidR="002E7051" w:rsidRDefault="00A17A9B" w:rsidP="002E7051">
            <w:pPr>
              <w:spacing w:after="0" w:line="240" w:lineRule="auto"/>
              <w:ind w:left="1080"/>
              <w:jc w:val="both"/>
              <w:rPr>
                <w:rFonts w:cs="Times New Roman"/>
                <w:i/>
                <w:color w:val="002672" w:themeColor="text1" w:themeShade="BF"/>
                <w:sz w:val="22"/>
                <w:szCs w:val="22"/>
                <w:lang w:val="en-US"/>
              </w:rPr>
            </w:pPr>
            <w:r w:rsidRPr="00F40671">
              <w:rPr>
                <w:rFonts w:cs="Times New Roman"/>
                <w:i/>
                <w:color w:val="002672" w:themeColor="text1" w:themeShade="BF"/>
                <w:sz w:val="22"/>
                <w:szCs w:val="22"/>
                <w:lang w:val="en-US"/>
              </w:rPr>
              <w:t>Description of the specific unit/department/function that opens the challenge and how the challenge will be integrated in the company vision:</w:t>
            </w:r>
          </w:p>
          <w:p w:rsidR="00A17A9B" w:rsidRDefault="00A17A9B" w:rsidP="002E7051">
            <w:pPr>
              <w:spacing w:after="0" w:line="240" w:lineRule="auto"/>
              <w:ind w:left="1080"/>
              <w:jc w:val="both"/>
              <w:rPr>
                <w:rFonts w:cs="Times New Roman"/>
                <w:i/>
                <w:color w:val="002672" w:themeColor="text1" w:themeShade="BF"/>
                <w:sz w:val="22"/>
                <w:szCs w:val="22"/>
                <w:lang w:val="en-US"/>
              </w:rPr>
            </w:pPr>
            <w:r w:rsidRPr="00F40671">
              <w:rPr>
                <w:rFonts w:cs="Times New Roman"/>
                <w:i/>
                <w:color w:val="002672" w:themeColor="text1" w:themeShade="BF"/>
                <w:sz w:val="22"/>
                <w:szCs w:val="22"/>
                <w:lang w:val="en-US"/>
              </w:rPr>
              <w:t xml:space="preserve"> </w:t>
            </w:r>
          </w:p>
          <w:p w:rsidR="00C46984" w:rsidRPr="00A17A9B" w:rsidRDefault="005D1842" w:rsidP="00682F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The solution for the challenge will be </w:t>
            </w:r>
            <w:r w:rsidR="00007738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proposed by ADR-BI to be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implemented</w:t>
            </w:r>
            <w:r w:rsidR="00007738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 </w:t>
            </w:r>
            <w:proofErr w:type="gramStart"/>
            <w:r w:rsidR="00007738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in the near future</w:t>
            </w:r>
            <w:proofErr w:type="gramEnd"/>
            <w:r w:rsidR="00007738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 xml:space="preserve"> by the </w:t>
            </w:r>
            <w:r w:rsidR="00682F0B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city management</w:t>
            </w:r>
            <w:r w:rsidR="005368EC">
              <w:rPr>
                <w:rFonts w:cs="Times New Roman"/>
                <w:color w:val="002672" w:themeColor="text1" w:themeShade="BF"/>
                <w:sz w:val="22"/>
                <w:szCs w:val="22"/>
                <w:lang w:val="en-US"/>
              </w:rPr>
              <w:t>.</w:t>
            </w:r>
          </w:p>
        </w:tc>
      </w:tr>
    </w:tbl>
    <w:p w:rsidR="00FD047E" w:rsidRPr="001E7B20" w:rsidRDefault="00FD047E" w:rsidP="001E7B20">
      <w:pPr>
        <w:spacing w:after="0"/>
        <w:rPr>
          <w:color w:val="002672" w:themeColor="text1" w:themeShade="BF"/>
          <w:sz w:val="22"/>
          <w:szCs w:val="22"/>
          <w:lang w:val="en-US"/>
        </w:rPr>
      </w:pPr>
    </w:p>
    <w:sectPr w:rsidR="00FD047E" w:rsidRPr="001E7B20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A1" w:rsidRDefault="00EC74A1" w:rsidP="00F2458D">
      <w:pPr>
        <w:spacing w:after="0" w:line="240" w:lineRule="auto"/>
      </w:pPr>
      <w:r>
        <w:separator/>
      </w:r>
    </w:p>
  </w:endnote>
  <w:endnote w:type="continuationSeparator" w:id="0">
    <w:p w:rsidR="00EC74A1" w:rsidRDefault="00EC74A1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48" w:rsidRDefault="008D5A9B" w:rsidP="00E01848">
    <w:pPr>
      <w:pStyle w:val="Subsol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22860</wp:posOffset>
              </wp:positionV>
              <wp:extent cx="4715510" cy="42862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551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0A" w:rsidRPr="00F2458D" w:rsidRDefault="001B4638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1.8pt;width:371.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" filled="f" stroked="f" strokeweight=".5pt">
              <v:path arrowok="t"/>
              <v:textbox>
                <w:txbxContent>
                  <w:p w:rsidR="00E3150A" w:rsidRPr="00F2458D" w:rsidRDefault="001B4638" w:rsidP="00E3150A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</w:txbxContent>
              </v:textbox>
            </v:shape>
          </w:pict>
        </mc:Fallback>
      </mc:AlternateContent>
    </w:r>
  </w:p>
  <w:p w:rsidR="00E01848" w:rsidRDefault="008D5A9B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5066665</wp:posOffset>
              </wp:positionH>
              <wp:positionV relativeFrom="paragraph">
                <wp:posOffset>53340</wp:posOffset>
              </wp:positionV>
              <wp:extent cx="973455" cy="3429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Subsol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F0B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F0B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A7BB6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" filled="f" stroked="f" strokeweight=".5pt">
              <v:path arrowok="t"/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Footer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682F0B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682F0B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7A7BB6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A1" w:rsidRDefault="00EC74A1" w:rsidP="00F2458D">
      <w:pPr>
        <w:spacing w:after="0" w:line="240" w:lineRule="auto"/>
      </w:pPr>
      <w:r>
        <w:separator/>
      </w:r>
    </w:p>
  </w:footnote>
  <w:footnote w:type="continuationSeparator" w:id="0">
    <w:p w:rsidR="00EC74A1" w:rsidRDefault="00EC74A1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8D" w:rsidRDefault="00EC74A1">
    <w:pPr>
      <w:pStyle w:val="Ante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8D" w:rsidRDefault="009652BF">
    <w:pPr>
      <w:pStyle w:val="Antet"/>
    </w:pPr>
    <w:r w:rsidRPr="009652B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28F9DB6B" wp14:editId="14636A5F">
          <wp:simplePos x="0" y="0"/>
          <wp:positionH relativeFrom="column">
            <wp:posOffset>5323205</wp:posOffset>
          </wp:positionH>
          <wp:positionV relativeFrom="paragraph">
            <wp:posOffset>66040</wp:posOffset>
          </wp:positionV>
          <wp:extent cx="917575" cy="4191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2BF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9C14A8" wp14:editId="05D13C7D">
          <wp:simplePos x="0" y="0"/>
          <wp:positionH relativeFrom="column">
            <wp:posOffset>4448175</wp:posOffset>
          </wp:positionH>
          <wp:positionV relativeFrom="paragraph">
            <wp:posOffset>66040</wp:posOffset>
          </wp:positionV>
          <wp:extent cx="878840" cy="433070"/>
          <wp:effectExtent l="0" t="0" r="0" b="5080"/>
          <wp:wrapNone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DE1">
      <w:rPr>
        <w:noProof/>
        <w:lang w:val="en-US"/>
      </w:rPr>
      <w:drawing>
        <wp:anchor distT="0" distB="0" distL="114300" distR="114300" simplePos="0" relativeHeight="251628032" behindDoc="0" locked="0" layoutInCell="1" allowOverlap="1">
          <wp:simplePos x="0" y="0"/>
          <wp:positionH relativeFrom="margin">
            <wp:posOffset>3695700</wp:posOffset>
          </wp:positionH>
          <wp:positionV relativeFrom="margin">
            <wp:posOffset>-1792605</wp:posOffset>
          </wp:positionV>
          <wp:extent cx="475615" cy="44704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4A1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4" o:title="A4-na-vysku-hlavickovy-papir-v4a"/>
          <w10:wrap anchorx="margin" anchory="margin"/>
        </v:shape>
      </w:pict>
    </w:r>
    <w:r w:rsidR="00FA161F" w:rsidRPr="00FA161F">
      <w:rPr>
        <w:noProof/>
        <w:lang w:val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8D" w:rsidRDefault="00EC74A1">
    <w:pPr>
      <w:pStyle w:val="Ante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5015"/>
    <w:multiLevelType w:val="hybridMultilevel"/>
    <w:tmpl w:val="7AFA6EE2"/>
    <w:lvl w:ilvl="0" w:tplc="6C546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3460E"/>
    <w:multiLevelType w:val="hybridMultilevel"/>
    <w:tmpl w:val="3F308644"/>
    <w:lvl w:ilvl="0" w:tplc="4418B7B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2672" w:themeColor="text1" w:themeShade="BF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A31D5"/>
    <w:multiLevelType w:val="hybridMultilevel"/>
    <w:tmpl w:val="B26E948C"/>
    <w:lvl w:ilvl="0" w:tplc="528AF05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00399"/>
    <w:rsid w:val="00007738"/>
    <w:rsid w:val="00016889"/>
    <w:rsid w:val="000254D0"/>
    <w:rsid w:val="00027A1F"/>
    <w:rsid w:val="000377DC"/>
    <w:rsid w:val="001008EC"/>
    <w:rsid w:val="00132264"/>
    <w:rsid w:val="001928CC"/>
    <w:rsid w:val="001A69A3"/>
    <w:rsid w:val="001B455A"/>
    <w:rsid w:val="001B4638"/>
    <w:rsid w:val="001B7D08"/>
    <w:rsid w:val="001C5C2A"/>
    <w:rsid w:val="001C7C53"/>
    <w:rsid w:val="001D3C22"/>
    <w:rsid w:val="001E61C5"/>
    <w:rsid w:val="001E7252"/>
    <w:rsid w:val="001E7B20"/>
    <w:rsid w:val="00220AB8"/>
    <w:rsid w:val="0026219D"/>
    <w:rsid w:val="00284D01"/>
    <w:rsid w:val="002D6454"/>
    <w:rsid w:val="002E7051"/>
    <w:rsid w:val="00304455"/>
    <w:rsid w:val="00347E23"/>
    <w:rsid w:val="0039284B"/>
    <w:rsid w:val="003B3DBE"/>
    <w:rsid w:val="003E373A"/>
    <w:rsid w:val="003E4DF8"/>
    <w:rsid w:val="003E5B33"/>
    <w:rsid w:val="003E5DE1"/>
    <w:rsid w:val="00421440"/>
    <w:rsid w:val="00434112"/>
    <w:rsid w:val="00480418"/>
    <w:rsid w:val="00494534"/>
    <w:rsid w:val="004E7D1C"/>
    <w:rsid w:val="0052537A"/>
    <w:rsid w:val="005368EC"/>
    <w:rsid w:val="00580CD4"/>
    <w:rsid w:val="005A5454"/>
    <w:rsid w:val="005A59C1"/>
    <w:rsid w:val="005B691A"/>
    <w:rsid w:val="005D1842"/>
    <w:rsid w:val="005E7976"/>
    <w:rsid w:val="00625262"/>
    <w:rsid w:val="00655C24"/>
    <w:rsid w:val="006825F5"/>
    <w:rsid w:val="00682F0B"/>
    <w:rsid w:val="00693D7C"/>
    <w:rsid w:val="00724A8F"/>
    <w:rsid w:val="00726D64"/>
    <w:rsid w:val="00764134"/>
    <w:rsid w:val="0076769E"/>
    <w:rsid w:val="007A7BB6"/>
    <w:rsid w:val="007B4E49"/>
    <w:rsid w:val="007D4ED0"/>
    <w:rsid w:val="007E115C"/>
    <w:rsid w:val="007E3F78"/>
    <w:rsid w:val="008A0531"/>
    <w:rsid w:val="008A56E7"/>
    <w:rsid w:val="008A56E8"/>
    <w:rsid w:val="008C38E1"/>
    <w:rsid w:val="008D3AAA"/>
    <w:rsid w:val="008D5A9B"/>
    <w:rsid w:val="00903923"/>
    <w:rsid w:val="00912BFC"/>
    <w:rsid w:val="00926695"/>
    <w:rsid w:val="00943056"/>
    <w:rsid w:val="00955D37"/>
    <w:rsid w:val="009652BF"/>
    <w:rsid w:val="00965994"/>
    <w:rsid w:val="009D22E1"/>
    <w:rsid w:val="00A17A9B"/>
    <w:rsid w:val="00AC5321"/>
    <w:rsid w:val="00AD2602"/>
    <w:rsid w:val="00AD2A80"/>
    <w:rsid w:val="00AD667B"/>
    <w:rsid w:val="00AD70E9"/>
    <w:rsid w:val="00AF246B"/>
    <w:rsid w:val="00B23988"/>
    <w:rsid w:val="00B47FAC"/>
    <w:rsid w:val="00B507D1"/>
    <w:rsid w:val="00BA1BBB"/>
    <w:rsid w:val="00BB40E5"/>
    <w:rsid w:val="00BC377B"/>
    <w:rsid w:val="00BC6026"/>
    <w:rsid w:val="00BD040F"/>
    <w:rsid w:val="00BE6D44"/>
    <w:rsid w:val="00BF6210"/>
    <w:rsid w:val="00C304E4"/>
    <w:rsid w:val="00C323FC"/>
    <w:rsid w:val="00C35447"/>
    <w:rsid w:val="00C46984"/>
    <w:rsid w:val="00C6348C"/>
    <w:rsid w:val="00CA7FB8"/>
    <w:rsid w:val="00D01812"/>
    <w:rsid w:val="00D0633E"/>
    <w:rsid w:val="00D1746B"/>
    <w:rsid w:val="00D2681B"/>
    <w:rsid w:val="00D35791"/>
    <w:rsid w:val="00D6739F"/>
    <w:rsid w:val="00D71E4E"/>
    <w:rsid w:val="00E01848"/>
    <w:rsid w:val="00E03182"/>
    <w:rsid w:val="00E12D73"/>
    <w:rsid w:val="00E20A39"/>
    <w:rsid w:val="00E3150A"/>
    <w:rsid w:val="00E61E58"/>
    <w:rsid w:val="00E869CC"/>
    <w:rsid w:val="00E93486"/>
    <w:rsid w:val="00EB6449"/>
    <w:rsid w:val="00EC74A1"/>
    <w:rsid w:val="00EE7BE1"/>
    <w:rsid w:val="00EF55A9"/>
    <w:rsid w:val="00F04456"/>
    <w:rsid w:val="00F2458D"/>
    <w:rsid w:val="00F40671"/>
    <w:rsid w:val="00F56096"/>
    <w:rsid w:val="00F5757B"/>
    <w:rsid w:val="00FA161F"/>
    <w:rsid w:val="00FC3B45"/>
    <w:rsid w:val="00FC6958"/>
    <w:rsid w:val="00FD047E"/>
    <w:rsid w:val="00F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18386E54"/>
  <w15:docId w15:val="{458446AA-8B75-49BD-B3AC-9B2D896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8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458D"/>
  </w:style>
  <w:style w:type="paragraph" w:styleId="Subsol">
    <w:name w:val="footer"/>
    <w:basedOn w:val="Normal"/>
    <w:link w:val="SubsolCaracte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Listparagraf">
    <w:name w:val="List Paragraph"/>
    <w:basedOn w:val="Normal"/>
    <w:link w:val="ListparagrafCaracte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ListparagrafCaracter">
    <w:name w:val="Listă paragraf Caracter"/>
    <w:link w:val="Listparagraf"/>
    <w:locked/>
    <w:rsid w:val="00BC377B"/>
    <w:rPr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BA1BB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A1BBB"/>
    <w:pPr>
      <w:spacing w:line="240" w:lineRule="auto"/>
    </w:pPr>
    <w:rPr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A1BBB"/>
    <w:rPr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BBB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1BBB"/>
    <w:rPr>
      <w:b/>
      <w:bCs/>
      <w:lang w:val="cs-CZ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1BBB"/>
    <w:rPr>
      <w:b/>
      <w:bCs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25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C0D7-AC63-4422-A048-562C18CA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Koblížková</dc:creator>
  <cp:lastModifiedBy>Florin Popescu</cp:lastModifiedBy>
  <cp:revision>9</cp:revision>
  <dcterms:created xsi:type="dcterms:W3CDTF">2018-11-02T14:20:00Z</dcterms:created>
  <dcterms:modified xsi:type="dcterms:W3CDTF">2018-11-12T09:09:00Z</dcterms:modified>
</cp:coreProperties>
</file>